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6C1" w:rsidRDefault="009656C1"/>
    <w:p w:rsidR="009656C1" w:rsidRDefault="009656C1"/>
    <w:tbl>
      <w:tblPr>
        <w:tblStyle w:val="Tabel-Gitter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3D0E75" w:rsidTr="007F7484">
        <w:tc>
          <w:tcPr>
            <w:tcW w:w="3964" w:type="dxa"/>
          </w:tcPr>
          <w:p w:rsidR="003D0E75" w:rsidRPr="00817247" w:rsidRDefault="005842A1" w:rsidP="005D1B29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5245" w:type="dxa"/>
          </w:tcPr>
          <w:p w:rsidR="003D0E75" w:rsidRPr="00817247" w:rsidRDefault="00433270" w:rsidP="002C5B53">
            <w:r w:rsidRPr="000A0C8A">
              <w:rPr>
                <w:rFonts w:cs="Arial"/>
              </w:rPr>
              <w:t>Fælles retningslinjer vedr. datakvalitet og validering for forbrugs</w:t>
            </w:r>
            <w:r>
              <w:rPr>
                <w:rFonts w:cs="Arial"/>
              </w:rPr>
              <w:t>- og produktionsdata</w:t>
            </w:r>
          </w:p>
        </w:tc>
      </w:tr>
      <w:tr w:rsidR="00071EE1" w:rsidTr="007F7484">
        <w:tc>
          <w:tcPr>
            <w:tcW w:w="3964" w:type="dxa"/>
          </w:tcPr>
          <w:p w:rsidR="00071EE1" w:rsidRPr="00535D99" w:rsidRDefault="00071EE1" w:rsidP="002C5B53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5245" w:type="dxa"/>
          </w:tcPr>
          <w:p w:rsidR="00071EE1" w:rsidRPr="00817247" w:rsidRDefault="00433270" w:rsidP="002C5B53">
            <w:r>
              <w:t>4</w:t>
            </w:r>
          </w:p>
        </w:tc>
      </w:tr>
      <w:tr w:rsidR="003D0E75" w:rsidTr="007F7484">
        <w:tc>
          <w:tcPr>
            <w:tcW w:w="3964" w:type="dxa"/>
          </w:tcPr>
          <w:p w:rsidR="003D0E75" w:rsidRPr="00535D99" w:rsidRDefault="003D0E75" w:rsidP="002C5B53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5245" w:type="dxa"/>
          </w:tcPr>
          <w:p w:rsidR="003D0E75" w:rsidRPr="00817247" w:rsidRDefault="00433270" w:rsidP="002C5B53">
            <w:r>
              <w:t>KDS</w:t>
            </w:r>
          </w:p>
        </w:tc>
      </w:tr>
      <w:tr w:rsidR="00433270" w:rsidTr="007F7484">
        <w:tc>
          <w:tcPr>
            <w:tcW w:w="3964" w:type="dxa"/>
          </w:tcPr>
          <w:p w:rsidR="00433270" w:rsidRPr="00535D99" w:rsidRDefault="00433270" w:rsidP="00433270">
            <w:pPr>
              <w:rPr>
                <w:b/>
              </w:rPr>
            </w:pPr>
            <w:r>
              <w:rPr>
                <w:b/>
              </w:rPr>
              <w:t>Ansvarligt arbejdsspor</w:t>
            </w:r>
          </w:p>
        </w:tc>
        <w:tc>
          <w:tcPr>
            <w:tcW w:w="5245" w:type="dxa"/>
          </w:tcPr>
          <w:p w:rsidR="00433270" w:rsidRPr="000A0C8A" w:rsidRDefault="00433270" w:rsidP="00433270">
            <w:pPr>
              <w:rPr>
                <w:rFonts w:cs="Arial"/>
              </w:rPr>
            </w:pPr>
            <w:r w:rsidRPr="000A0C8A">
              <w:rPr>
                <w:rFonts w:cs="Arial"/>
              </w:rPr>
              <w:t xml:space="preserve">Arbejdsspor vedr. </w:t>
            </w:r>
            <w:proofErr w:type="spellStart"/>
            <w:r w:rsidRPr="000A0C8A">
              <w:rPr>
                <w:rFonts w:cs="Arial"/>
              </w:rPr>
              <w:t>interoperabilitet</w:t>
            </w:r>
            <w:proofErr w:type="spellEnd"/>
          </w:p>
        </w:tc>
      </w:tr>
      <w:tr w:rsidR="00433270" w:rsidTr="007F7484">
        <w:tc>
          <w:tcPr>
            <w:tcW w:w="3964" w:type="dxa"/>
          </w:tcPr>
          <w:p w:rsidR="00433270" w:rsidRPr="00535D99" w:rsidRDefault="00433270" w:rsidP="00433270">
            <w:pPr>
              <w:rPr>
                <w:b/>
              </w:rPr>
            </w:pPr>
            <w:r>
              <w:rPr>
                <w:b/>
              </w:rPr>
              <w:t>FFD-målsætning(er)</w:t>
            </w:r>
          </w:p>
        </w:tc>
        <w:tc>
          <w:tcPr>
            <w:tcW w:w="5245" w:type="dxa"/>
          </w:tcPr>
          <w:p w:rsidR="00433270" w:rsidRDefault="00433270" w:rsidP="00433270">
            <w:r>
              <w:t>2</w:t>
            </w:r>
          </w:p>
        </w:tc>
      </w:tr>
      <w:tr w:rsidR="00433270" w:rsidTr="007F7484">
        <w:tc>
          <w:tcPr>
            <w:tcW w:w="3964" w:type="dxa"/>
          </w:tcPr>
          <w:p w:rsidR="00433270" w:rsidRDefault="00433270" w:rsidP="00433270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5245" w:type="dxa"/>
          </w:tcPr>
          <w:p w:rsidR="00433270" w:rsidRPr="00433270" w:rsidRDefault="00433270" w:rsidP="00433270">
            <w:r w:rsidRPr="00433270">
              <w:t>Q3 2025</w:t>
            </w:r>
          </w:p>
        </w:tc>
      </w:tr>
      <w:tr w:rsidR="00433270" w:rsidTr="007F7484">
        <w:tc>
          <w:tcPr>
            <w:tcW w:w="3964" w:type="dxa"/>
          </w:tcPr>
          <w:p w:rsidR="00433270" w:rsidRDefault="00433270" w:rsidP="00433270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5245" w:type="dxa"/>
          </w:tcPr>
          <w:p w:rsidR="00433270" w:rsidRPr="00433270" w:rsidRDefault="00433270" w:rsidP="00433270">
            <w:r w:rsidRPr="00433270">
              <w:t>FFD</w:t>
            </w:r>
          </w:p>
        </w:tc>
      </w:tr>
    </w:tbl>
    <w:p w:rsidR="005901BB" w:rsidRDefault="005901BB" w:rsidP="005901BB"/>
    <w:p w:rsidR="00773FA9" w:rsidRDefault="00773FA9" w:rsidP="00BE7454">
      <w:pPr>
        <w:pStyle w:val="Overskrift4"/>
      </w:pPr>
      <w:r>
        <w:t xml:space="preserve">Beskrivelse </w:t>
      </w:r>
    </w:p>
    <w:p w:rsidR="00433270" w:rsidRPr="000A0C8A" w:rsidRDefault="00433270" w:rsidP="00433270">
      <w:pPr>
        <w:rPr>
          <w:rFonts w:cs="Arial"/>
        </w:rPr>
      </w:pPr>
      <w:r w:rsidRPr="000A0C8A">
        <w:rPr>
          <w:rFonts w:cs="Arial"/>
        </w:rPr>
        <w:t xml:space="preserve">Formålet med at etablere fælles retningslinjer for datakvalitet og validering af datakvalitet er at sikre en </w:t>
      </w:r>
      <w:r>
        <w:rPr>
          <w:rFonts w:cs="Arial"/>
        </w:rPr>
        <w:t>ensartet</w:t>
      </w:r>
      <w:r w:rsidRPr="000A0C8A">
        <w:rPr>
          <w:rFonts w:cs="Arial"/>
        </w:rPr>
        <w:t xml:space="preserve"> metode til at</w:t>
      </w:r>
      <w:r>
        <w:rPr>
          <w:rFonts w:cs="Arial"/>
        </w:rPr>
        <w:t xml:space="preserve"> beskrive</w:t>
      </w:r>
      <w:r w:rsidRPr="000A0C8A">
        <w:rPr>
          <w:rFonts w:cs="Arial"/>
        </w:rPr>
        <w:t xml:space="preserve"> oplysninger om datakvaliteten i et udstillet datasæt</w:t>
      </w:r>
      <w:r>
        <w:rPr>
          <w:rFonts w:cs="Arial"/>
        </w:rPr>
        <w:t xml:space="preserve">. Dette </w:t>
      </w:r>
      <w:r w:rsidRPr="000A0C8A">
        <w:rPr>
          <w:rFonts w:cs="Arial"/>
        </w:rPr>
        <w:t>gør det lettere at vurdere</w:t>
      </w:r>
      <w:r>
        <w:rPr>
          <w:rFonts w:cs="Arial"/>
        </w:rPr>
        <w:t>,</w:t>
      </w:r>
      <w:r w:rsidRPr="000A0C8A">
        <w:rPr>
          <w:rFonts w:cs="Arial"/>
        </w:rPr>
        <w:t xml:space="preserve"> om et datasæt er egnet til en givet (ny) anvendelse </w:t>
      </w:r>
      <w:r>
        <w:rPr>
          <w:rFonts w:cs="Arial"/>
        </w:rPr>
        <w:t>samt fremme</w:t>
      </w:r>
      <w:r w:rsidRPr="000A0C8A">
        <w:rPr>
          <w:rFonts w:cs="Arial"/>
        </w:rPr>
        <w:t xml:space="preserve"> </w:t>
      </w:r>
      <w:r>
        <w:rPr>
          <w:rFonts w:cs="Arial"/>
        </w:rPr>
        <w:t xml:space="preserve">en bedre </w:t>
      </w:r>
      <w:r w:rsidRPr="000A0C8A">
        <w:rPr>
          <w:rFonts w:cs="Arial"/>
        </w:rPr>
        <w:t>dialog mellem den dataansvarlige organisation og eksterne anvendere. Det</w:t>
      </w:r>
      <w:r>
        <w:rPr>
          <w:rFonts w:cs="Arial"/>
        </w:rPr>
        <w:t>te</w:t>
      </w:r>
      <w:r w:rsidRPr="000A0C8A">
        <w:rPr>
          <w:rFonts w:cs="Arial"/>
        </w:rPr>
        <w:t xml:space="preserve"> </w:t>
      </w:r>
      <w:r>
        <w:rPr>
          <w:rFonts w:cs="Arial"/>
        </w:rPr>
        <w:t>vil</w:t>
      </w:r>
      <w:r w:rsidRPr="000A0C8A">
        <w:rPr>
          <w:rFonts w:cs="Arial"/>
        </w:rPr>
        <w:t xml:space="preserve"> minimere risikoen for fejl i data</w:t>
      </w:r>
      <w:r>
        <w:rPr>
          <w:rFonts w:cs="Arial"/>
        </w:rPr>
        <w:t>anvendelsen</w:t>
      </w:r>
      <w:r w:rsidRPr="000A0C8A">
        <w:rPr>
          <w:rFonts w:cs="Arial"/>
        </w:rPr>
        <w:t xml:space="preserve"> og styrke tilliden til data, hvilket er afgørende for en ensartet og pålidelig </w:t>
      </w:r>
      <w:r>
        <w:rPr>
          <w:rFonts w:cs="Arial"/>
        </w:rPr>
        <w:t>brug</w:t>
      </w:r>
      <w:r w:rsidRPr="000A0C8A">
        <w:rPr>
          <w:rFonts w:cs="Arial"/>
        </w:rPr>
        <w:t xml:space="preserve"> af data på tværs af forsyningssektoren. Leverancen tager udgangspunkt i det fællessprog for datakvalitet, der er udviklet i regi af FDA. </w:t>
      </w:r>
      <w:r>
        <w:rPr>
          <w:rFonts w:cs="Arial"/>
        </w:rPr>
        <w:br/>
      </w:r>
    </w:p>
    <w:p w:rsidR="003D0E75" w:rsidRPr="003D0E75" w:rsidRDefault="00433270" w:rsidP="00433270">
      <w:r w:rsidRPr="000A0C8A">
        <w:rPr>
          <w:rFonts w:cs="Arial"/>
        </w:rPr>
        <w:t xml:space="preserve">Leverancen foregår i tæt samspil med </w:t>
      </w:r>
      <w:proofErr w:type="spellStart"/>
      <w:r w:rsidRPr="000A0C8A">
        <w:rPr>
          <w:rFonts w:cs="Arial"/>
        </w:rPr>
        <w:t>DUG’ernes</w:t>
      </w:r>
      <w:proofErr w:type="spellEnd"/>
      <w:r w:rsidRPr="000A0C8A">
        <w:rPr>
          <w:rFonts w:cs="Arial"/>
        </w:rPr>
        <w:t xml:space="preserve"> leverancer og baseres på analyse af de specifikke behov og udfordringer relateret til datakvalitet i forsynings</w:t>
      </w:r>
      <w:r w:rsidRPr="000A0C8A">
        <w:rPr>
          <w:rFonts w:cs="Arial"/>
        </w:rPr>
        <w:softHyphen/>
        <w:t xml:space="preserve">sektoren inden for det udvalgte </w:t>
      </w:r>
      <w:proofErr w:type="spellStart"/>
      <w:r w:rsidRPr="000A0C8A">
        <w:rPr>
          <w:rFonts w:cs="Arial"/>
        </w:rPr>
        <w:t>scope</w:t>
      </w:r>
      <w:proofErr w:type="spellEnd"/>
      <w:r w:rsidRPr="000A0C8A">
        <w:rPr>
          <w:rFonts w:cs="Arial"/>
        </w:rPr>
        <w:t xml:space="preserve"> (adgang til egne forbrugsdata, udstilling af produktions- og udledningsdata samt øvrige data). Dette omfatter målefejl og manglende oplysninger i datasæt. Resultaterne heraf vil danne grundlag for retningslinjer, der kan anvendes på tværs i sektoren. Desuden vil leverancen omfatte udarbejdelse af</w:t>
      </w:r>
      <w:r>
        <w:rPr>
          <w:rFonts w:cs="Arial"/>
        </w:rPr>
        <w:t xml:space="preserve"> </w:t>
      </w:r>
      <w:r w:rsidRPr="000A0C8A">
        <w:rPr>
          <w:rFonts w:cs="Arial"/>
        </w:rPr>
        <w:t>retningslinjer, der skal guide og standardisere alle dele af i hele dataleverancecyklussen. Dette inkluderer ensartede procedurer for indsamling, validering, opdatering og anvendelse af data. Retningslinjerne vil blive udviklet med fokus på at opnå høj datakvalitet og sikre gennemsigtighed i alle dele af processen</w:t>
      </w:r>
      <w:r w:rsidR="00FD2A66">
        <w:rPr>
          <w:rFonts w:cs="Arial"/>
        </w:rPr>
        <w:br/>
      </w:r>
    </w:p>
    <w:p w:rsidR="0011517C" w:rsidRDefault="00856267" w:rsidP="00BE7454">
      <w:pPr>
        <w:pStyle w:val="Overskrift4"/>
      </w:pPr>
      <w:r>
        <w:t>Opgaver</w:t>
      </w:r>
    </w:p>
    <w:p w:rsidR="00433270" w:rsidRPr="00433270" w:rsidRDefault="00433270" w:rsidP="00433270">
      <w:pPr>
        <w:pStyle w:val="Opstilling-punkttegn"/>
        <w:spacing w:after="0" w:line="280" w:lineRule="atLeast"/>
        <w:rPr>
          <w:rFonts w:ascii="Arial" w:hAnsi="Arial" w:cs="Arial"/>
          <w:sz w:val="20"/>
          <w:lang w:eastAsia="da-DK"/>
        </w:rPr>
      </w:pPr>
      <w:r w:rsidRPr="00433270">
        <w:rPr>
          <w:rFonts w:ascii="Arial" w:hAnsi="Arial" w:cs="Arial"/>
          <w:sz w:val="20"/>
          <w:lang w:eastAsia="da-DK"/>
        </w:rPr>
        <w:t xml:space="preserve">Afdækning af tværgående behov og udfordringer vedrørende datakvalitet og validering </w:t>
      </w:r>
    </w:p>
    <w:p w:rsidR="00433270" w:rsidRPr="00433270" w:rsidRDefault="00433270" w:rsidP="00433270">
      <w:pPr>
        <w:pStyle w:val="Opstilling-punkttegn"/>
        <w:spacing w:after="0" w:line="280" w:lineRule="atLeast"/>
        <w:rPr>
          <w:rFonts w:ascii="Arial" w:hAnsi="Arial" w:cs="Arial"/>
          <w:sz w:val="20"/>
        </w:rPr>
      </w:pPr>
      <w:r w:rsidRPr="00433270">
        <w:rPr>
          <w:rFonts w:ascii="Arial" w:hAnsi="Arial" w:cs="Arial"/>
          <w:sz w:val="20"/>
          <w:lang w:eastAsia="da-DK"/>
        </w:rPr>
        <w:t>[Input for DUG-] afdækning af nuværende praksis med datakvalitet og validering</w:t>
      </w:r>
    </w:p>
    <w:p w:rsidR="00433270" w:rsidRPr="00433270" w:rsidRDefault="00433270" w:rsidP="00433270">
      <w:pPr>
        <w:pStyle w:val="Opstilling-punkttegn"/>
        <w:spacing w:after="0" w:line="280" w:lineRule="atLeast"/>
        <w:rPr>
          <w:rFonts w:ascii="Arial" w:hAnsi="Arial" w:cs="Arial"/>
          <w:sz w:val="20"/>
        </w:rPr>
      </w:pPr>
      <w:r w:rsidRPr="00433270">
        <w:rPr>
          <w:rFonts w:ascii="Arial" w:hAnsi="Arial" w:cs="Arial"/>
          <w:sz w:val="20"/>
        </w:rPr>
        <w:t>Udvikling af anbefalinger til retningslinjer for datakvalitet og validering, som kan implementeres bredt i forsyningssektoren</w:t>
      </w:r>
      <w:r w:rsidRPr="00433270" w:rsidDel="00550849">
        <w:rPr>
          <w:rFonts w:ascii="Arial" w:hAnsi="Arial" w:cs="Arial"/>
          <w:sz w:val="20"/>
          <w:lang w:eastAsia="da-DK"/>
        </w:rPr>
        <w:t xml:space="preserve"> </w:t>
      </w:r>
    </w:p>
    <w:p w:rsidR="00433270" w:rsidRPr="00433270" w:rsidRDefault="00433270" w:rsidP="00433270">
      <w:pPr>
        <w:pStyle w:val="Opstilling-punkttegn"/>
        <w:spacing w:after="0" w:line="280" w:lineRule="atLeast"/>
        <w:rPr>
          <w:rFonts w:ascii="Arial" w:hAnsi="Arial" w:cs="Arial"/>
          <w:sz w:val="20"/>
        </w:rPr>
      </w:pPr>
      <w:r w:rsidRPr="00433270">
        <w:rPr>
          <w:rFonts w:ascii="Arial" w:hAnsi="Arial" w:cs="Arial"/>
          <w:sz w:val="20"/>
        </w:rPr>
        <w:t>Anbefaling til implementering af retningslinjer, med fokus på</w:t>
      </w:r>
    </w:p>
    <w:p w:rsidR="00433270" w:rsidRPr="00433270" w:rsidRDefault="00433270" w:rsidP="00433270">
      <w:pPr>
        <w:pStyle w:val="Opstilling-punkttegn"/>
        <w:numPr>
          <w:ilvl w:val="0"/>
          <w:numId w:val="2"/>
        </w:numPr>
        <w:rPr>
          <w:rFonts w:ascii="Arial" w:hAnsi="Arial" w:cs="Arial"/>
          <w:sz w:val="20"/>
        </w:rPr>
      </w:pPr>
      <w:bookmarkStart w:id="0" w:name="_Hlk176870269"/>
      <w:r w:rsidRPr="00433270">
        <w:rPr>
          <w:rFonts w:ascii="Arial" w:hAnsi="Arial" w:cs="Arial"/>
          <w:sz w:val="20"/>
        </w:rPr>
        <w:t>Faser eller kobling til delprojekter/</w:t>
      </w:r>
      <w:proofErr w:type="spellStart"/>
      <w:r w:rsidRPr="00433270">
        <w:rPr>
          <w:rFonts w:ascii="Arial" w:hAnsi="Arial" w:cs="Arial"/>
          <w:sz w:val="20"/>
        </w:rPr>
        <w:t>use</w:t>
      </w:r>
      <w:proofErr w:type="spellEnd"/>
      <w:r w:rsidRPr="00433270">
        <w:rPr>
          <w:rFonts w:ascii="Arial" w:hAnsi="Arial" w:cs="Arial"/>
          <w:sz w:val="20"/>
        </w:rPr>
        <w:t xml:space="preserve"> cases: Konkrete forslag til faseopdelt implementering og/eller gennemførelse af konkret pilot/test </w:t>
      </w:r>
      <w:proofErr w:type="spellStart"/>
      <w:r w:rsidRPr="00433270">
        <w:rPr>
          <w:rFonts w:ascii="Arial" w:hAnsi="Arial" w:cs="Arial"/>
          <w:sz w:val="20"/>
        </w:rPr>
        <w:t>mhp</w:t>
      </w:r>
      <w:proofErr w:type="spellEnd"/>
      <w:r w:rsidRPr="00433270">
        <w:rPr>
          <w:rFonts w:ascii="Arial" w:hAnsi="Arial" w:cs="Arial"/>
          <w:sz w:val="20"/>
        </w:rPr>
        <w:t xml:space="preserve">. hurtig afprøvning og værdiskabelse </w:t>
      </w:r>
    </w:p>
    <w:p w:rsidR="00433270" w:rsidRPr="00433270" w:rsidRDefault="00433270" w:rsidP="00433270">
      <w:pPr>
        <w:pStyle w:val="Opstilling-punkttegn"/>
        <w:numPr>
          <w:ilvl w:val="0"/>
          <w:numId w:val="3"/>
        </w:numPr>
        <w:rPr>
          <w:rFonts w:ascii="Arial" w:hAnsi="Arial" w:cs="Arial"/>
          <w:sz w:val="20"/>
        </w:rPr>
      </w:pPr>
      <w:r w:rsidRPr="00433270">
        <w:rPr>
          <w:rFonts w:ascii="Arial" w:hAnsi="Arial" w:cs="Arial"/>
          <w:sz w:val="20"/>
        </w:rPr>
        <w:t>Systemunderstøttelse: forslag til hvordan retningslinjerne konkret systemunderstøttes, så brugbarhed og kompatibilitet sikres</w:t>
      </w:r>
    </w:p>
    <w:p w:rsidR="00735A67" w:rsidRPr="00433270" w:rsidRDefault="00433270" w:rsidP="00433270">
      <w:pPr>
        <w:pStyle w:val="Opstilling-punkttegn"/>
        <w:numPr>
          <w:ilvl w:val="0"/>
          <w:numId w:val="3"/>
        </w:numPr>
        <w:rPr>
          <w:rFonts w:ascii="Arial" w:hAnsi="Arial" w:cs="Arial"/>
          <w:sz w:val="20"/>
        </w:rPr>
      </w:pPr>
      <w:proofErr w:type="spellStart"/>
      <w:r w:rsidRPr="00433270">
        <w:rPr>
          <w:rFonts w:cs="Arial"/>
          <w:sz w:val="20"/>
        </w:rPr>
        <w:t>Governance</w:t>
      </w:r>
      <w:proofErr w:type="spellEnd"/>
      <w:r w:rsidRPr="00433270">
        <w:rPr>
          <w:rFonts w:cs="Arial"/>
          <w:sz w:val="20"/>
        </w:rPr>
        <w:t>, herunder revision: Model for retningslinjernes opdatering og revision</w:t>
      </w:r>
      <w:bookmarkStart w:id="1" w:name="_GoBack"/>
      <w:bookmarkEnd w:id="0"/>
      <w:bookmarkEnd w:id="1"/>
    </w:p>
    <w:p w:rsidR="00735A67" w:rsidRDefault="00735A67" w:rsidP="00735A67">
      <w:pPr>
        <w:pStyle w:val="Overskrift4"/>
      </w:pPr>
      <w:r>
        <w:t xml:space="preserve">Afhængigheder </w:t>
      </w:r>
    </w:p>
    <w:p w:rsidR="00433270" w:rsidRPr="000A0C8A" w:rsidRDefault="00433270" w:rsidP="00433270">
      <w:pPr>
        <w:rPr>
          <w:rFonts w:cs="Arial"/>
        </w:rPr>
      </w:pPr>
      <w:r w:rsidRPr="000A0C8A">
        <w:rPr>
          <w:rFonts w:cs="Arial"/>
        </w:rPr>
        <w:t>Leverancen bør også afstemmes med EU-arbejdsspor for at sikre sammenhæng til relevante EU-standarder, der kunne have betydning for leverancen. Der er også en afhængighed til leverance 3.</w:t>
      </w:r>
    </w:p>
    <w:p w:rsidR="00011B72" w:rsidRDefault="00011B72" w:rsidP="00011B72"/>
    <w:p w:rsidR="00011B72" w:rsidRPr="00011B72" w:rsidRDefault="00011B72" w:rsidP="00011B72"/>
    <w:sectPr w:rsidR="00011B72" w:rsidRPr="00011B72" w:rsidSect="009656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9C9" w:rsidRDefault="003139C9" w:rsidP="008969C1">
      <w:pPr>
        <w:spacing w:line="240" w:lineRule="auto"/>
      </w:pPr>
      <w:r>
        <w:separator/>
      </w:r>
    </w:p>
  </w:endnote>
  <w:endnote w:type="continuationSeparator" w:id="0">
    <w:p w:rsidR="003139C9" w:rsidRDefault="003139C9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835DC0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82390B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7F438B" w:rsidRDefault="007F438B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DA7419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" filled="f" stroked="f" strokeweight=".5pt">
              <v:textbox>
                <w:txbxContent>
                  <w:p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:rsidR="007F438B" w:rsidRDefault="007F438B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:rsidR="00DA7419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402E1B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402E1B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9C9" w:rsidRDefault="003139C9" w:rsidP="008969C1">
      <w:pPr>
        <w:spacing w:line="240" w:lineRule="auto"/>
      </w:pPr>
      <w:r>
        <w:separator/>
      </w:r>
    </w:p>
  </w:footnote>
  <w:footnote w:type="continuationSeparator" w:id="0">
    <w:p w:rsidR="003139C9" w:rsidRDefault="003139C9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FC3" w:rsidRDefault="005E3FC3">
    <w:pPr>
      <w:pStyle w:val="Sidehoved"/>
    </w:pPr>
  </w:p>
  <w:p w:rsidR="005842A1" w:rsidRDefault="00433270">
    <w:pPr>
      <w:pStyle w:val="Sidehoved"/>
      <w:rPr>
        <w:b/>
        <w:noProof/>
        <w:lang w:eastAsia="da-DK"/>
      </w:rPr>
    </w:pPr>
    <w:r w:rsidRPr="00D0279D">
      <w:rPr>
        <w:rFonts w:ascii="Times New Roman" w:eastAsia="Times New Roman" w:hAnsi="Times New Roman" w:cs="Times New Roman"/>
        <w:noProof/>
        <w:sz w:val="24"/>
        <w:szCs w:val="24"/>
        <w:lang w:eastAsia="da-DK"/>
      </w:rPr>
      <w:drawing>
        <wp:anchor distT="0" distB="0" distL="114300" distR="114300" simplePos="0" relativeHeight="251652089" behindDoc="0" locked="0" layoutInCell="1" allowOverlap="1" wp14:anchorId="0ED72A4A" wp14:editId="6F7E1C64">
          <wp:simplePos x="0" y="0"/>
          <wp:positionH relativeFrom="margin">
            <wp:posOffset>-30480</wp:posOffset>
          </wp:positionH>
          <wp:positionV relativeFrom="paragraph">
            <wp:posOffset>22225</wp:posOffset>
          </wp:positionV>
          <wp:extent cx="2407285" cy="638175"/>
          <wp:effectExtent l="0" t="0" r="0" b="9525"/>
          <wp:wrapSquare wrapText="bothSides"/>
          <wp:docPr id="3" name="Billede 3" descr="https://sdfe.sdfewebh-spf01p.prod.sitad.dk/Nyhedsarkiv/PublishingImages/Faglig/Klimadatastyrel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dfe.sdfewebh-spf01p.prod.sitad.dk/Nyhedsarkiv/PublishingImages/Faglig/Klimadatastyrels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28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:rsidR="005842A1" w:rsidRDefault="005842A1">
    <w:pPr>
      <w:pStyle w:val="Sidehoved"/>
      <w:rPr>
        <w:b/>
        <w:noProof/>
        <w:lang w:eastAsia="da-DK"/>
      </w:rPr>
    </w:pPr>
  </w:p>
  <w:p w:rsidR="008969C1" w:rsidRPr="005E3FC3" w:rsidRDefault="00177BFB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  <w:t xml:space="preserve">  </w:t>
    </w:r>
    <w:r w:rsidR="00433270">
      <w:rPr>
        <w:b/>
        <w:noProof/>
        <w:lang w:eastAsia="da-DK"/>
      </w:rPr>
      <w:t>TAU</w:t>
    </w:r>
    <w:r>
      <w:rPr>
        <w:b/>
        <w:noProof/>
        <w:lang w:eastAsia="da-DK"/>
      </w:rPr>
      <w:t xml:space="preserve"> d. </w:t>
    </w:r>
    <w:r w:rsidR="00433270">
      <w:rPr>
        <w:b/>
        <w:noProof/>
        <w:lang w:eastAsia="da-DK"/>
      </w:rPr>
      <w:t>25</w:t>
    </w:r>
    <w:r>
      <w:rPr>
        <w:b/>
        <w:noProof/>
        <w:lang w:eastAsia="da-DK"/>
      </w:rPr>
      <w:t xml:space="preserve">. </w:t>
    </w:r>
    <w:r w:rsidR="00433270">
      <w:rPr>
        <w:b/>
        <w:noProof/>
        <w:lang w:eastAsia="da-DK"/>
      </w:rPr>
      <w:t>september</w:t>
    </w:r>
    <w:r>
      <w:rPr>
        <w:b/>
        <w:noProof/>
        <w:lang w:eastAsia="da-DK"/>
      </w:rPr>
      <w:t xml:space="preserve"> 202</w:t>
    </w:r>
    <w:r w:rsidR="00433270">
      <w:rPr>
        <w:b/>
        <w:noProof/>
        <w:lang w:eastAsia="da-DK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3A7A2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1D0054"/>
    <w:multiLevelType w:val="hybridMultilevel"/>
    <w:tmpl w:val="266691F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57037"/>
    <w:multiLevelType w:val="hybridMultilevel"/>
    <w:tmpl w:val="7444C9D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0B"/>
    <w:rsid w:val="00011B72"/>
    <w:rsid w:val="00022817"/>
    <w:rsid w:val="00036061"/>
    <w:rsid w:val="00052E80"/>
    <w:rsid w:val="00065C74"/>
    <w:rsid w:val="00071EE1"/>
    <w:rsid w:val="00086163"/>
    <w:rsid w:val="00093D64"/>
    <w:rsid w:val="00096B1E"/>
    <w:rsid w:val="000A08E2"/>
    <w:rsid w:val="000B41EC"/>
    <w:rsid w:val="000D7BA0"/>
    <w:rsid w:val="000E3AC9"/>
    <w:rsid w:val="00110084"/>
    <w:rsid w:val="0011517C"/>
    <w:rsid w:val="00135F4E"/>
    <w:rsid w:val="00135FA2"/>
    <w:rsid w:val="00140C61"/>
    <w:rsid w:val="00164D3D"/>
    <w:rsid w:val="00177BFB"/>
    <w:rsid w:val="00193547"/>
    <w:rsid w:val="001E498A"/>
    <w:rsid w:val="001F64C1"/>
    <w:rsid w:val="00222DCA"/>
    <w:rsid w:val="002611C9"/>
    <w:rsid w:val="0027768F"/>
    <w:rsid w:val="002861AB"/>
    <w:rsid w:val="00296E6F"/>
    <w:rsid w:val="00297DFF"/>
    <w:rsid w:val="002A4EDA"/>
    <w:rsid w:val="002C135B"/>
    <w:rsid w:val="003059EE"/>
    <w:rsid w:val="003139C9"/>
    <w:rsid w:val="0034007A"/>
    <w:rsid w:val="00347BCC"/>
    <w:rsid w:val="00352DBE"/>
    <w:rsid w:val="00364721"/>
    <w:rsid w:val="003976B0"/>
    <w:rsid w:val="003B31EC"/>
    <w:rsid w:val="003B5DBB"/>
    <w:rsid w:val="003B7D18"/>
    <w:rsid w:val="003D0E75"/>
    <w:rsid w:val="004002DA"/>
    <w:rsid w:val="00402E1B"/>
    <w:rsid w:val="004129C4"/>
    <w:rsid w:val="00413E19"/>
    <w:rsid w:val="00433270"/>
    <w:rsid w:val="00436E82"/>
    <w:rsid w:val="004456A7"/>
    <w:rsid w:val="004704DA"/>
    <w:rsid w:val="00491E68"/>
    <w:rsid w:val="004A0CFD"/>
    <w:rsid w:val="004B53D4"/>
    <w:rsid w:val="004D5CFB"/>
    <w:rsid w:val="004E2EED"/>
    <w:rsid w:val="004F1001"/>
    <w:rsid w:val="004F5C81"/>
    <w:rsid w:val="004F6E56"/>
    <w:rsid w:val="00502AFB"/>
    <w:rsid w:val="0052539C"/>
    <w:rsid w:val="00527652"/>
    <w:rsid w:val="005340A7"/>
    <w:rsid w:val="00535D99"/>
    <w:rsid w:val="00556827"/>
    <w:rsid w:val="00583115"/>
    <w:rsid w:val="005842A1"/>
    <w:rsid w:val="005901BB"/>
    <w:rsid w:val="005D1B29"/>
    <w:rsid w:val="005E3FC3"/>
    <w:rsid w:val="00604944"/>
    <w:rsid w:val="006202F5"/>
    <w:rsid w:val="00622FCD"/>
    <w:rsid w:val="00665F29"/>
    <w:rsid w:val="00667FF1"/>
    <w:rsid w:val="00674D05"/>
    <w:rsid w:val="006803EB"/>
    <w:rsid w:val="00681C07"/>
    <w:rsid w:val="00694A54"/>
    <w:rsid w:val="0069599A"/>
    <w:rsid w:val="006D6210"/>
    <w:rsid w:val="006E4D5D"/>
    <w:rsid w:val="006E691D"/>
    <w:rsid w:val="006F3ECC"/>
    <w:rsid w:val="00721870"/>
    <w:rsid w:val="00724326"/>
    <w:rsid w:val="00735A67"/>
    <w:rsid w:val="007636C2"/>
    <w:rsid w:val="00773FA9"/>
    <w:rsid w:val="00775419"/>
    <w:rsid w:val="00786DB8"/>
    <w:rsid w:val="007B75E6"/>
    <w:rsid w:val="007D374E"/>
    <w:rsid w:val="007D7217"/>
    <w:rsid w:val="007F438B"/>
    <w:rsid w:val="007F7484"/>
    <w:rsid w:val="00800E2B"/>
    <w:rsid w:val="00802C9E"/>
    <w:rsid w:val="00804D82"/>
    <w:rsid w:val="008176EC"/>
    <w:rsid w:val="0082390B"/>
    <w:rsid w:val="00835DC0"/>
    <w:rsid w:val="0083694E"/>
    <w:rsid w:val="00852392"/>
    <w:rsid w:val="008543DD"/>
    <w:rsid w:val="00856267"/>
    <w:rsid w:val="008959BC"/>
    <w:rsid w:val="008963E9"/>
    <w:rsid w:val="008969C1"/>
    <w:rsid w:val="008A2C80"/>
    <w:rsid w:val="008E6610"/>
    <w:rsid w:val="008F2666"/>
    <w:rsid w:val="008F54B5"/>
    <w:rsid w:val="00923F35"/>
    <w:rsid w:val="00940553"/>
    <w:rsid w:val="00941A73"/>
    <w:rsid w:val="009449EF"/>
    <w:rsid w:val="00964849"/>
    <w:rsid w:val="009656C1"/>
    <w:rsid w:val="00971513"/>
    <w:rsid w:val="009A3C98"/>
    <w:rsid w:val="009B6747"/>
    <w:rsid w:val="009C4438"/>
    <w:rsid w:val="009D3FB5"/>
    <w:rsid w:val="00A223CB"/>
    <w:rsid w:val="00A46851"/>
    <w:rsid w:val="00A53376"/>
    <w:rsid w:val="00A53C43"/>
    <w:rsid w:val="00A854AD"/>
    <w:rsid w:val="00A9284C"/>
    <w:rsid w:val="00A97EC2"/>
    <w:rsid w:val="00AB0C78"/>
    <w:rsid w:val="00AB4885"/>
    <w:rsid w:val="00AC60EA"/>
    <w:rsid w:val="00AE5A22"/>
    <w:rsid w:val="00B0187A"/>
    <w:rsid w:val="00B0453B"/>
    <w:rsid w:val="00B11F0A"/>
    <w:rsid w:val="00B12E08"/>
    <w:rsid w:val="00B1566A"/>
    <w:rsid w:val="00B536E9"/>
    <w:rsid w:val="00B80EA0"/>
    <w:rsid w:val="00BA0FCB"/>
    <w:rsid w:val="00BC0B2C"/>
    <w:rsid w:val="00BC1C56"/>
    <w:rsid w:val="00BD2772"/>
    <w:rsid w:val="00BE7454"/>
    <w:rsid w:val="00C20E5C"/>
    <w:rsid w:val="00C4750C"/>
    <w:rsid w:val="00C651CC"/>
    <w:rsid w:val="00C76EC2"/>
    <w:rsid w:val="00CB3A7C"/>
    <w:rsid w:val="00CD48B3"/>
    <w:rsid w:val="00CD7252"/>
    <w:rsid w:val="00CF0A4B"/>
    <w:rsid w:val="00CF6D05"/>
    <w:rsid w:val="00D1257F"/>
    <w:rsid w:val="00D12E7B"/>
    <w:rsid w:val="00D25373"/>
    <w:rsid w:val="00D357CF"/>
    <w:rsid w:val="00D536C2"/>
    <w:rsid w:val="00D93447"/>
    <w:rsid w:val="00DA7419"/>
    <w:rsid w:val="00DC2214"/>
    <w:rsid w:val="00DD1186"/>
    <w:rsid w:val="00DE0419"/>
    <w:rsid w:val="00E452E8"/>
    <w:rsid w:val="00E65202"/>
    <w:rsid w:val="00E96EBA"/>
    <w:rsid w:val="00EB2424"/>
    <w:rsid w:val="00EB6E23"/>
    <w:rsid w:val="00EB76A7"/>
    <w:rsid w:val="00ED066E"/>
    <w:rsid w:val="00EE7838"/>
    <w:rsid w:val="00F126B7"/>
    <w:rsid w:val="00F3314C"/>
    <w:rsid w:val="00F714AB"/>
    <w:rsid w:val="00FC27C9"/>
    <w:rsid w:val="00F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0EC384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paragraph" w:styleId="Opstilling-punkttegn">
    <w:name w:val="List Bullet"/>
    <w:basedOn w:val="Normal"/>
    <w:uiPriority w:val="99"/>
    <w:unhideWhenUsed/>
    <w:rsid w:val="00433270"/>
    <w:pPr>
      <w:numPr>
        <w:numId w:val="1"/>
      </w:numPr>
      <w:spacing w:after="160" w:line="259" w:lineRule="auto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908950-8a9e-406e-b8ad-29df7835d279">NW225VSDDT2D-2062917464-39</_dlc_DocId>
    <_dlc_DocIdUrl xmlns="1e908950-8a9e-406e-b8ad-29df7835d279">
      <Url>https://spx.ens.dk/fdp/_layouts/15/DocIdRedir.aspx?ID=NW225VSDDT2D-2062917464-39</Url>
      <Description>NW225VSDDT2D-2062917464-39</Description>
    </_dlc_DocIdUrl>
    <_dlc_DocIdPersistId xmlns="1e908950-8a9e-406e-b8ad-29df7835d279" xsi:nil="true"/>
  </documentManagement>
</p:properties>
</file>

<file path=customXml/itemProps1.xml><?xml version="1.0" encoding="utf-8"?>
<ds:datastoreItem xmlns:ds="http://schemas.openxmlformats.org/officeDocument/2006/customXml" ds:itemID="{EBF7DCDF-A772-438C-AB6A-80BCC2F82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5B6C9-FB85-4E22-AF2D-B752F45A14D7}"/>
</file>

<file path=customXml/itemProps3.xml><?xml version="1.0" encoding="utf-8"?>
<ds:datastoreItem xmlns:ds="http://schemas.openxmlformats.org/officeDocument/2006/customXml" ds:itemID="{ABC11921-58DD-4FCD-AB1E-EA5DE644AC84}"/>
</file>

<file path=customXml/itemProps4.xml><?xml version="1.0" encoding="utf-8"?>
<ds:datastoreItem xmlns:ds="http://schemas.openxmlformats.org/officeDocument/2006/customXml" ds:itemID="{D2FBD1E0-035C-4C98-A122-1259A6D44763}"/>
</file>

<file path=customXml/itemProps5.xml><?xml version="1.0" encoding="utf-8"?>
<ds:datastoreItem xmlns:ds="http://schemas.openxmlformats.org/officeDocument/2006/customXml" ds:itemID="{9DC9633E-14A6-421B-ACE3-B2FE1B52A09E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0</TotalTime>
  <Pages>1</Pages>
  <Words>360</Words>
  <Characters>2344</Characters>
  <Application>Microsoft Office Word</Application>
  <DocSecurity>0</DocSecurity>
  <Lines>50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Nicklas Vandfeldt Hansen</cp:lastModifiedBy>
  <cp:revision>2</cp:revision>
  <cp:lastPrinted>2023-11-01T09:14:00Z</cp:lastPrinted>
  <dcterms:created xsi:type="dcterms:W3CDTF">2024-09-23T08:41:00Z</dcterms:created>
  <dcterms:modified xsi:type="dcterms:W3CDTF">2024-09-23T08:41:00Z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0x010100391372B9CB940948847A2E3063809E0E</vt:lpwstr>
  </property>
  <property fmtid="{D5CDD505-2E9C-101B-9397-08002B2CF9AE}" pid="4" name="_dlc_DocIdItemGuid">
    <vt:lpwstr>0c6e0728-712e-4d01-bd3b-55f62ec35865</vt:lpwstr>
  </property>
</Properties>
</file>